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1500" w:firstLineChars="50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Style w:val="6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 xml:space="preserve">附件  </w:t>
      </w:r>
      <w:bookmarkStart w:id="0" w:name="_GoBack"/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专项清理整治工作情况统计表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1"/>
        <w:gridCol w:w="3797"/>
        <w:gridCol w:w="1013"/>
        <w:gridCol w:w="1035"/>
        <w:gridCol w:w="921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1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</w:rPr>
              <w:t>序列</w:t>
            </w:r>
          </w:p>
        </w:tc>
        <w:tc>
          <w:tcPr>
            <w:tcW w:w="3797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</w:rPr>
              <w:t>工作举措</w:t>
            </w:r>
          </w:p>
        </w:tc>
        <w:tc>
          <w:tcPr>
            <w:tcW w:w="2969" w:type="dxa"/>
            <w:gridSpan w:val="3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</w:rPr>
              <w:t>工作成果</w:t>
            </w: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</w:rPr>
              <w:t>备  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3797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13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</w:rPr>
              <w:t>省级</w:t>
            </w:r>
          </w:p>
        </w:tc>
        <w:tc>
          <w:tcPr>
            <w:tcW w:w="103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</w:rPr>
              <w:t>市级</w:t>
            </w:r>
          </w:p>
        </w:tc>
        <w:tc>
          <w:tcPr>
            <w:tcW w:w="92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</w:rPr>
              <w:t>县级</w:t>
            </w: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开展自查协会商会数（个）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通过自查纠正乱收费问题数（个）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抽查协会商会数（个）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规范会费收取标准和程序的协会商会数（个）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调整和规范经营服务性收费项目数（个）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6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降低偏高收费项目数（个）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7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查处存在乱收费问题协会商会数（个）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8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查处乱收费金额（万元）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9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通过减免和降低收费减轻企业负担金额（万元）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10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对收费信息进行公示的协会商会数（个）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11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设立电话、邮箱、微信小程序等举报平台数（个）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12</w:t>
            </w:r>
          </w:p>
        </w:tc>
        <w:tc>
          <w:tcPr>
            <w:tcW w:w="379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textAlignment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围绕收费长效监管机制出台政策文件数（个）</w:t>
            </w:r>
          </w:p>
        </w:tc>
        <w:tc>
          <w:tcPr>
            <w:tcW w:w="101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2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95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1487F"/>
    <w:rsid w:val="4CF1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2021-06-23T08:31:00Z</dcterms:created>
  <dc:creator>中国工程咨询-ly</dc:creator>
  <cp:lastModifiedBy>中国工程咨询-ly</cp:lastModifiedBy>
  <dcterms:modified xsi:type="dcterms:W3CDTF">2021-06-23T08:42:38Z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5060C36DC85C40B0944ECD4164A6AEA5</vt:lpwstr>
  </property>
</Properties>
</file>